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Style w:val="NormalTable"/>
        <w:tblW w:w="0" w:type="auto"/>
        <w:tblBorders>
          <w:top w:val="none" w:sz="6" w:space="0" w:color="000000"/>
          <w:left w:val="none" w:sz="6" w:space="0" w:color="000000"/>
          <w:bottom w:val="none" w:sz="6" w:space="0" w:color="000000"/>
          <w:right w:val="none" w:sz="6" w:space="0" w:color="000000"/>
          <w:insideH w:val="none" w:sz="6" w:space="0" w:color="000000"/>
          <w:insideV w:val="none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9906"/>
      </w:tblGrid>
      <w:tr w:rsidR="00000000">
        <w:tc>
          <w:tcPr>
            <w:tcW w:w="10772" w:type="dxa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85245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 xml:space="preserve">Утв. приказом Минфина РФ </w:t>
            </w:r>
            <w:r>
              <w:rPr>
                <w:rFonts w:ascii="Times New Roman" w:hAnsi="Times New Roman"/>
                <w:sz w:val="20"/>
              </w:rPr>
              <w:br/>
              <w:t xml:space="preserve">от 28 декабря 2010 г. № 191н </w:t>
            </w:r>
            <w:r>
              <w:rPr>
                <w:rFonts w:ascii="Times New Roman" w:hAnsi="Times New Roman"/>
                <w:sz w:val="20"/>
              </w:rPr>
              <w:br/>
            </w:r>
            <w:r>
              <w:rPr>
                <w:rFonts w:ascii="Times New Roman" w:hAnsi="Times New Roman"/>
                <w:i/>
                <w:sz w:val="20"/>
              </w:rPr>
              <w:t>(в ред. от 16 ноября 2016 г.)</w:t>
            </w:r>
          </w:p>
        </w:tc>
      </w:tr>
    </w:tbl>
    <w:p w:rsidR="00000000" w:rsidRDefault="0085245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vanish/>
          <w:sz w:val="24"/>
        </w:rPr>
        <w:t> </w:t>
      </w:r>
    </w:p>
    <w:tbl>
      <w:tblPr>
        <w:tblStyle w:val="NormalTable"/>
        <w:tblW w:w="9580" w:type="dxa"/>
        <w:tblInd w:w="93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6091"/>
        <w:gridCol w:w="228"/>
        <w:gridCol w:w="1538"/>
        <w:gridCol w:w="1723"/>
      </w:tblGrid>
      <w:tr w:rsidR="00000000">
        <w:trPr>
          <w:trHeight w:val="27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0"/>
              </w:rPr>
              <w:t>ПОЯСНИТЕЛЬНАЯ ЗАПИСКА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5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КОДЫ</w:t>
            </w: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Форма по ОКУД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0503160</w:t>
            </w:r>
          </w:p>
        </w:tc>
      </w:tr>
      <w:tr w:rsidR="00000000">
        <w:trPr>
          <w:trHeight w:val="282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                       на   1 января 2022 г.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Дата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01.01.2022</w:t>
            </w:r>
          </w:p>
        </w:tc>
      </w:tr>
      <w:tr w:rsidR="00000000">
        <w:trPr>
          <w:trHeight w:val="30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Главный распорядитель, распорядитель,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получатель бюджетных средств, главный администратор,   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доходов бюджета,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195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ОКПО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главный администратор, администратор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</w:tr>
      <w:tr w:rsidR="00000000">
        <w:trPr>
          <w:trHeight w:val="19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195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администратор источников финансирования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0"/>
              </w:rPr>
            </w:pPr>
          </w:p>
        </w:tc>
      </w:tr>
      <w:tr w:rsidR="00000000"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дефицита бюджета </w:t>
            </w:r>
            <w:r>
              <w:rPr>
                <w:rFonts w:ascii="Times New Roman" w:hAnsi="Times New Roman"/>
                <w:sz w:val="18"/>
                <w:u w:val="single"/>
              </w:rPr>
              <w:t>Троицкое сельское поселение</w:t>
            </w:r>
            <w:r>
              <w:rPr>
                <w:rFonts w:ascii="Times New Roman" w:hAnsi="Times New Roman"/>
                <w:sz w:val="18"/>
              </w:rPr>
              <w:t>         </w:t>
            </w:r>
          </w:p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 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Глава по БК</w:t>
            </w:r>
          </w:p>
        </w:tc>
        <w:tc>
          <w:tcPr>
            <w:tcW w:w="1680" w:type="dxa"/>
            <w:tcBorders>
              <w:top w:val="non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914</w:t>
            </w:r>
          </w:p>
        </w:tc>
      </w:tr>
      <w:tr w:rsidR="00000000">
        <w:trPr>
          <w:trHeight w:val="280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Наименование бюджета 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10"/>
        </w:trPr>
        <w:tc>
          <w:tcPr>
            <w:tcW w:w="0" w:type="auto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(публично-правового образования) </w:t>
            </w:r>
            <w:r>
              <w:rPr>
                <w:rFonts w:ascii="Times New Roman" w:hAnsi="Times New Roman"/>
                <w:sz w:val="18"/>
                <w:u w:val="single"/>
              </w:rPr>
              <w:t>Бюджет сельских поселений</w:t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  <w:p w:rsidR="00000000" w:rsidRDefault="00852457">
            <w:pPr>
              <w:spacing w:line="21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 xml:space="preserve">   </w:t>
            </w: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210" w:lineRule="atLeast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по ОКТМО</w:t>
            </w:r>
          </w:p>
        </w:tc>
        <w:tc>
          <w:tcPr>
            <w:tcW w:w="16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line="210" w:lineRule="atLeas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5"/>
              </w:rPr>
              <w:t>20627474</w:t>
            </w:r>
          </w:p>
        </w:tc>
      </w:tr>
      <w:tr w:rsidR="00000000">
        <w:trPr>
          <w:trHeight w:val="315"/>
        </w:trPr>
        <w:tc>
          <w:tcPr>
            <w:tcW w:w="59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Периодичность:    месячная, квартальная, годовая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non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Единица измерения: руб.</w:t>
            </w: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spacing w:before="240" w:beforeAutospacing="1" w:after="240" w:afterAutospacing="1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    по ОКЕИ</w:t>
            </w:r>
          </w:p>
        </w:tc>
        <w:tc>
          <w:tcPr>
            <w:tcW w:w="1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18"/>
              </w:rPr>
              <w:t>383</w:t>
            </w:r>
          </w:p>
        </w:tc>
      </w:tr>
      <w:tr w:rsidR="00000000">
        <w:trPr>
          <w:trHeight w:val="282"/>
        </w:trPr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5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168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82"/>
        </w:trPr>
        <w:tc>
          <w:tcPr>
            <w:tcW w:w="0" w:type="auto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</w:tbl>
    <w:p w:rsidR="00000000" w:rsidRDefault="00852457">
      <w:r>
        <w:rPr>
          <w:rFonts w:ascii="Tahoma" w:eastAsia="Tahoma" w:hAnsi="Tahoma" w:cs="Tahoma"/>
          <w:color w:val="000000"/>
          <w:sz w:val="18"/>
        </w:rPr>
        <w:br/>
      </w:r>
      <w:r>
        <w:rPr>
          <w:rFonts w:ascii="Tahoma" w:eastAsia="Tahoma" w:hAnsi="Tahoma" w:cs="Tahoma"/>
          <w:color w:val="000000"/>
          <w:sz w:val="18"/>
        </w:rPr>
        <w:br/>
      </w:r>
      <w:r>
        <w:rPr>
          <w:rFonts w:ascii="Tahoma" w:eastAsia="Tahoma" w:hAnsi="Tahoma" w:cs="Tahoma"/>
          <w:color w:val="000000"/>
          <w:sz w:val="18"/>
        </w:rPr>
        <w:br/>
      </w:r>
      <w:r>
        <w:rPr>
          <w:rFonts w:ascii="Tahoma" w:eastAsia="Tahoma" w:hAnsi="Tahoma" w:cs="Tahoma"/>
          <w:color w:val="000000"/>
          <w:sz w:val="18"/>
        </w:rPr>
        <w:br/>
      </w:r>
    </w:p>
    <w:p w:rsidR="00000000" w:rsidRDefault="00852457">
      <w:r>
        <w:rPr>
          <w:rFonts w:ascii="Tahoma" w:eastAsia="Tahoma" w:hAnsi="Tahoma" w:cs="Tahoma"/>
          <w:color w:val="000000"/>
          <w:sz w:val="18"/>
        </w:rPr>
        <w:t>                 </w:t>
      </w:r>
      <w:r>
        <w:rPr>
          <w:rFonts w:ascii="Tahoma" w:eastAsia="Tahoma" w:hAnsi="Tahoma" w:cs="Tahoma"/>
          <w:color w:val="000000"/>
          <w:sz w:val="24"/>
        </w:rPr>
        <w:t>  </w:t>
      </w:r>
    </w:p>
    <w:tbl>
      <w:tblPr>
        <w:tblStyle w:val="NormalTable"/>
        <w:tblW w:w="9645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9579"/>
        <w:gridCol w:w="66"/>
      </w:tblGrid>
      <w:tr w:rsidR="00000000">
        <w:trPr>
          <w:trHeight w:val="184"/>
        </w:trPr>
        <w:tc>
          <w:tcPr>
            <w:tcW w:w="9638" w:type="dxa"/>
            <w:tcBorders>
              <w:top w:val="single" w:sz="8" w:space="0" w:color="FFFFFF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Раздел 1 «Орган</w:t>
            </w:r>
            <w:r>
              <w:rPr>
                <w:rFonts w:ascii="Arial" w:eastAsia="Arial" w:hAnsi="Arial" w:cs="Arial"/>
                <w:color w:val="000000"/>
                <w:sz w:val="20"/>
              </w:rPr>
              <w:t>изационная структура субъекта бюджетной отчетности»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Администрация Троицкого сельского поселения Новохоперского муниципального района Воронежской области является исполнительно-распорядительным органом поселения и действует на основании Устава. Администраци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я Троицкого сельского поселения является главным администратором доходов, главным распорядителем бюджетных средств, главным администратором источников финансирования дефицита бюджета. Сведения об основных направлениях деятельности представлены в таблице № </w:t>
            </w:r>
            <w:r>
              <w:rPr>
                <w:rFonts w:ascii="Arial" w:eastAsia="Arial" w:hAnsi="Arial" w:cs="Arial"/>
                <w:color w:val="000000"/>
                <w:sz w:val="20"/>
              </w:rPr>
              <w:t>1 Пояснительной записки.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Сведения о количестве подведомственных учреждений отражены в форме таблица 1 Сведения об основных направлениях деятельности, № 0503160 Пояснительной записки к годовому отчету.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 w:rsidR="00000000">
        <w:trPr>
          <w:trHeight w:val="1"/>
        </w:trPr>
        <w:tc>
          <w:tcPr>
            <w:tcW w:w="9638" w:type="dxa"/>
            <w:tcBorders>
              <w:top w:val="nil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2"/>
              </w:rPr>
              <w:t> </w:t>
            </w:r>
          </w:p>
        </w:tc>
      </w:tr>
      <w:tr w:rsidR="00000000">
        <w:trPr>
          <w:trHeight w:val="184"/>
        </w:trPr>
        <w:tc>
          <w:tcPr>
            <w:tcW w:w="9638" w:type="dxa"/>
            <w:tcBorders>
              <w:top w:val="nil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Раздел 2 «Результаты деятельности субъекта бюдж</w:t>
            </w:r>
            <w:r>
              <w:rPr>
                <w:rFonts w:ascii="Arial" w:eastAsia="Arial" w:hAnsi="Arial" w:cs="Arial"/>
                <w:color w:val="000000"/>
                <w:sz w:val="20"/>
              </w:rPr>
              <w:t>етной отчетности»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Финансовые и хозяйственные операции по ведению учета осуществляются в соответствии с бюджетным кодексом и действующей в учреждении учетной  политикой. Сведения о мерах по повышению эффективности расходования бюджетных средств приведены  ф</w:t>
            </w:r>
            <w:r>
              <w:rPr>
                <w:rFonts w:ascii="Arial" w:eastAsia="Arial" w:hAnsi="Arial" w:cs="Arial"/>
                <w:color w:val="000000"/>
                <w:sz w:val="20"/>
              </w:rPr>
              <w:t>.0503160 т.1 Сведения о результатах деятельности.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 w:rsidR="00000000">
        <w:trPr>
          <w:trHeight w:val="1"/>
        </w:trPr>
        <w:tc>
          <w:tcPr>
            <w:tcW w:w="9638" w:type="dxa"/>
            <w:tcBorders>
              <w:top w:val="nil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2"/>
              </w:rPr>
              <w:t> </w:t>
            </w:r>
          </w:p>
        </w:tc>
      </w:tr>
      <w:tr w:rsidR="00000000">
        <w:trPr>
          <w:trHeight w:val="184"/>
        </w:trPr>
        <w:tc>
          <w:tcPr>
            <w:tcW w:w="9638" w:type="dxa"/>
            <w:tcBorders>
              <w:top w:val="nil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Раздел 3 «Анализ отчета об исполнении бюджета субъектом бюджетной отчетности»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Бюджет Троицкого сельского поселения утвержден решением Сессии Совета народных депутатов Троицкого сельского поселения Н</w:t>
            </w:r>
            <w:r>
              <w:rPr>
                <w:rFonts w:ascii="Arial" w:eastAsia="Arial" w:hAnsi="Arial" w:cs="Arial"/>
                <w:color w:val="000000"/>
                <w:sz w:val="20"/>
              </w:rPr>
              <w:t>овохоперского муниципального района Воронежской области от 28.12.2020 № 22 «О бюджете Троицкого сельского поселения на 2021 год и на плановый период 2022 и 2023 годов»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4"/>
              </w:rPr>
              <w:t>                                                                     ДОХОДЫ.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  Доходная 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часть  бюджета  за  2021 год  составила  13574761.00 рублей. План  по  доходам  выполнен  на  99.7%  к  показателям,  утвержденным  бюджетом  на  2021  год.  Доля  собственных  доходов  в  общей  сумме  доходов  сельского  поселения  составляет  28.9%.  В</w:t>
            </w:r>
            <w:r>
              <w:rPr>
                <w:rFonts w:ascii="Arial" w:eastAsia="Arial" w:hAnsi="Arial" w:cs="Arial"/>
                <w:color w:val="000000"/>
                <w:sz w:val="20"/>
              </w:rPr>
              <w:t> бюджет  сельского  поселения  поступают  следующие  виды  налоговых  доходов:  налог на доходы физических  лиц,   земельный  налог,  налог  на  имущество  физических  лиц,  единый  сельскохозяйственный  налог, госпошлина  за  совершение  нотариальных  дей</w:t>
            </w:r>
            <w:r>
              <w:rPr>
                <w:rFonts w:ascii="Arial" w:eastAsia="Arial" w:hAnsi="Arial" w:cs="Arial"/>
                <w:color w:val="000000"/>
                <w:sz w:val="20"/>
              </w:rPr>
              <w:t>ствий. За  2021    год  поступило  налоговых  доходов  3528374.68 рублей  или   89.9% от суммы  собственных  доходов  поселения.  Госпошлины поступило за 2021 год 2600,00 рублей или 0,1% от суммы собственных доходов. Неналоговых  доходов  за  2021  год  по</w:t>
            </w:r>
            <w:r>
              <w:rPr>
                <w:rFonts w:ascii="Arial" w:eastAsia="Arial" w:hAnsi="Arial" w:cs="Arial"/>
                <w:color w:val="000000"/>
                <w:sz w:val="20"/>
              </w:rPr>
              <w:t>ступило  394434.47 рублей,  что  составляет  10,1% собственных  доходов  сельского  поселения.  Безвозмездные  поступления  от  других  бюджетов  составили  9651951,85 рублей,  что  составляет  71,1%  от  общей  суммы  доходов  бюджета  сельского  поселени</w:t>
            </w:r>
            <w:r>
              <w:rPr>
                <w:rFonts w:ascii="Arial" w:eastAsia="Arial" w:hAnsi="Arial" w:cs="Arial"/>
                <w:color w:val="000000"/>
                <w:sz w:val="20"/>
              </w:rPr>
              <w:t>я на  2021 год.  Процент  исполнения  годового  плана   составляет  98,8%.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   Причиной неисполнения является неполное поступление из областного бюджета  межбюджетных трансфертов  для  софинансирования  расходных обязательств по вопросам  местного  значения</w:t>
            </w:r>
            <w:r>
              <w:rPr>
                <w:rFonts w:ascii="Arial" w:eastAsia="Arial" w:hAnsi="Arial" w:cs="Arial"/>
                <w:color w:val="000000"/>
                <w:sz w:val="20"/>
              </w:rPr>
              <w:t>.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                                                                                     РАСХОДЫ.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 Кассовое исполнение бюджета Троицкого сельского поселения Новохоперского муниципального района Воронежской области за 2021 год по расходам составило 13274845,5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 рублей  или 93,8 % к уточненной бюджетной росписи.  Финансирование расходов бюджета сельского поселения за истекший  2021 год осуществлялось на основе принятых муниципальных программ. Приоритетным направлением расходования средств бюджета Троицкого сельск</w:t>
            </w:r>
            <w:r>
              <w:rPr>
                <w:rFonts w:ascii="Arial" w:eastAsia="Arial" w:hAnsi="Arial" w:cs="Arial"/>
                <w:color w:val="000000"/>
                <w:sz w:val="20"/>
              </w:rPr>
              <w:t>ого поселения являлось финансирование первоочередных социально направленных расходов - оплаты труда с начислениями, текущих коммунальных услуг, содержание и  укрепление материально-технической базы бюджетных учреждений. Наибольший удельный вес в расходах б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юджета сельского поселения в отчетном периоде составляют расходы на содержание органов местного самоуправления – 29,2 %, на национальную безопасность и правоохранительную деятельность - 2,2%,  на дорожное хозяйство –33,4 %, на благоустройство – 11,6 %, на </w:t>
            </w:r>
            <w:r>
              <w:rPr>
                <w:rFonts w:ascii="Arial" w:eastAsia="Arial" w:hAnsi="Arial" w:cs="Arial"/>
                <w:color w:val="000000"/>
                <w:sz w:val="20"/>
              </w:rPr>
              <w:t>культуру – 18,5 %. За 2021 год кассовый расход по данным видам расходов составил 12594641,87 рублей. 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  <w:tr w:rsidR="00000000">
        <w:trPr>
          <w:trHeight w:val="1"/>
        </w:trPr>
        <w:tc>
          <w:tcPr>
            <w:tcW w:w="9638" w:type="dxa"/>
            <w:tcBorders>
              <w:top w:val="nil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Times New Roman" w:hAnsi="Times New Roman"/>
                <w:color w:val="000000"/>
                <w:sz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2"/>
              </w:rPr>
              <w:t> </w:t>
            </w:r>
          </w:p>
        </w:tc>
      </w:tr>
      <w:tr w:rsidR="00000000">
        <w:trPr>
          <w:trHeight w:val="184"/>
        </w:trPr>
        <w:tc>
          <w:tcPr>
            <w:tcW w:w="9638" w:type="dxa"/>
            <w:tcBorders>
              <w:top w:val="nil"/>
              <w:left w:val="single" w:sz="17" w:space="0" w:color="FFFFFF"/>
              <w:bottom w:val="nil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Раздел 4 «Анализ показателей бухгалтерской отчетности субъекта бюджетной отчетности»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Информация по данному разделу представлена в следующих отчет</w:t>
            </w:r>
            <w:r>
              <w:rPr>
                <w:rFonts w:ascii="Arial" w:eastAsia="Arial" w:hAnsi="Arial" w:cs="Arial"/>
                <w:color w:val="000000"/>
                <w:sz w:val="20"/>
              </w:rPr>
              <w:t>ных формах: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- Сведения о движении нефинансовых активов (ф. 0503168);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- Сведения по дебиторской и кредиторской задолженности (ф. 0503169);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- Сведения об изменении остатков валюты баланса (ф. 0503173);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- Сведения о принятых и неисполненных обязательствах пол</w:t>
            </w:r>
            <w:r>
              <w:rPr>
                <w:rFonts w:ascii="Arial" w:eastAsia="Arial" w:hAnsi="Arial" w:cs="Arial"/>
                <w:color w:val="000000"/>
                <w:sz w:val="20"/>
              </w:rPr>
              <w:t>учателя бюджетных средств (ф.0503175).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В 2021 году  было произведено кассовых расходов на приобретение основных средств в сумме 273463,06 рубля. Поступили книги на сумму 9547,46 рублей,списаны пришедшие в негодность брошюры - 14144,68 рубля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Амортизация осн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овных средств рассчитывается линейным способом ежемесячно.  Основные средства стоимостью до 10000 руб., выбывшие в связи со списанием при вводе в эксплуатацию, </w:t>
            </w: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 xml:space="preserve">оприходованы на забалансовый счет 21 «Основные средства стоимостью до 10000 рублей включительно </w:t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в эксплуатации». 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В 2021 году в имущество казны были оприходованы земельные участки на сумму 8833765,39 рублей.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 Дебиторская задолженность (ф.0503169) по счету 120511000 в сумме 17057112,40 рублей.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Кредиторской задолженности на 01.01.2022 г. нет.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В ф. 0503</w:t>
            </w:r>
            <w:r>
              <w:rPr>
                <w:rFonts w:ascii="Arial" w:eastAsia="Arial" w:hAnsi="Arial" w:cs="Arial"/>
                <w:color w:val="000000"/>
                <w:sz w:val="20"/>
              </w:rPr>
              <w:t>173 «Сведения об изменении остатков валюты баланса» изменения на сумму операционной аренды 357887,60 рублей. 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 xml:space="preserve">В составе отчетности  следующие формы не имеют числовых значений: 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- Сведения о финансовых вложениях ПБС, АИФ дефицита бюджета (ф.0503171)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</w:rPr>
              <w:t xml:space="preserve">- </w:t>
            </w:r>
            <w:r>
              <w:rPr>
                <w:rFonts w:ascii="Arial" w:eastAsia="Arial" w:hAnsi="Arial" w:cs="Arial"/>
                <w:color w:val="000000"/>
                <w:sz w:val="20"/>
              </w:rPr>
              <w:t>Сведе</w:t>
            </w:r>
            <w:r>
              <w:rPr>
                <w:rFonts w:ascii="Arial" w:eastAsia="Arial" w:hAnsi="Arial" w:cs="Arial"/>
                <w:color w:val="000000"/>
                <w:sz w:val="20"/>
              </w:rPr>
              <w:t>ния о государственном (муниципальном) долге, предоставленных бюджетных кредитах (ф.0503172).</w:t>
            </w:r>
            <w:r>
              <w:rPr>
                <w:rFonts w:ascii="Arial" w:eastAsia="Arial" w:hAnsi="Arial" w:cs="Arial"/>
                <w:color w:val="000000"/>
                <w:sz w:val="24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t xml:space="preserve"> 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18"/>
              </w:rPr>
              <w:lastRenderedPageBreak/>
              <w:t> </w:t>
            </w:r>
          </w:p>
        </w:tc>
      </w:tr>
      <w:tr w:rsidR="00000000">
        <w:trPr>
          <w:trHeight w:val="184"/>
        </w:trPr>
        <w:tc>
          <w:tcPr>
            <w:tcW w:w="9638" w:type="dxa"/>
            <w:tcBorders>
              <w:top w:val="nil"/>
              <w:left w:val="single" w:sz="17" w:space="0" w:color="FFFFFF"/>
              <w:bottom w:val="single" w:sz="17" w:space="0" w:color="FFFFFF"/>
              <w:right w:val="single" w:sz="17" w:space="0" w:color="FFFFFF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lastRenderedPageBreak/>
              <w:t>Раздел 5 «Прочие вопросы деятельности субъекта бюджетной отчетности»</w:t>
            </w:r>
          </w:p>
          <w:p w:rsidR="00000000" w:rsidRDefault="00852457">
            <w:pPr>
              <w:spacing w:before="240" w:after="240"/>
            </w:pPr>
            <w:r>
              <w:rPr>
                <w:rFonts w:ascii="Arial" w:eastAsia="Arial" w:hAnsi="Arial" w:cs="Arial"/>
                <w:color w:val="000000"/>
                <w:sz w:val="20"/>
              </w:rPr>
              <w:t>Информация по этому разделу представлена в следующих отчетных формах: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сведения об особен</w:t>
            </w:r>
            <w:r>
              <w:rPr>
                <w:rFonts w:ascii="Arial" w:eastAsia="Arial" w:hAnsi="Arial" w:cs="Arial"/>
                <w:color w:val="000000"/>
                <w:sz w:val="20"/>
              </w:rPr>
              <w:t>ностях ведения бюджетного учета (таблица № 4);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  <w:t>сведения о проведении инвентаризаций (таблица № 6);</w:t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  <w:r>
              <w:rPr>
                <w:rFonts w:ascii="Arial" w:eastAsia="Arial" w:hAnsi="Arial" w:cs="Arial"/>
                <w:color w:val="000000"/>
                <w:sz w:val="20"/>
              </w:rPr>
              <w:br/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00000" w:rsidRDefault="00852457">
            <w:r>
              <w:rPr>
                <w:rFonts w:ascii="Times New Roman" w:hAnsi="Times New Roman"/>
                <w:color w:val="000000"/>
                <w:sz w:val="18"/>
              </w:rPr>
              <w:t> </w:t>
            </w:r>
          </w:p>
        </w:tc>
      </w:tr>
    </w:tbl>
    <w:p w:rsidR="00000000" w:rsidRDefault="00852457">
      <w:r>
        <w:rPr>
          <w:rFonts w:eastAsia="Calibri" w:cs="Calibri"/>
          <w:color w:val="000000"/>
        </w:rPr>
        <w:t> </w:t>
      </w:r>
    </w:p>
    <w:tbl>
      <w:tblPr>
        <w:tblStyle w:val="NormalTable"/>
        <w:tblW w:w="9380" w:type="dxa"/>
        <w:tblInd w:w="96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000"/>
      </w:tblPr>
      <w:tblGrid>
        <w:gridCol w:w="3570"/>
        <w:gridCol w:w="2040"/>
        <w:gridCol w:w="3770"/>
      </w:tblGrid>
      <w:tr w:rsidR="00000000"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/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/>
        </w:tc>
      </w:tr>
      <w:tr w:rsidR="00000000">
        <w:trPr>
          <w:trHeight w:val="280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 </w:t>
            </w: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Руководитель планово-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экономической службы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281"/>
        </w:trPr>
        <w:tc>
          <w:tcPr>
            <w:tcW w:w="0" w:type="auto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Главный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00000" w:rsidRDefault="00852457">
            <w:pPr>
              <w:rPr>
                <w:sz w:val="24"/>
              </w:rPr>
            </w:pPr>
          </w:p>
        </w:tc>
      </w:tr>
      <w:tr w:rsidR="00000000">
        <w:trPr>
          <w:trHeight w:val="281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б</w:t>
            </w:r>
            <w:r>
              <w:rPr>
                <w:rFonts w:ascii="Times New Roman" w:hAnsi="Times New Roman"/>
                <w:sz w:val="20"/>
              </w:rPr>
              <w:t>ухгалтер</w:t>
            </w:r>
          </w:p>
        </w:tc>
        <w:tc>
          <w:tcPr>
            <w:tcW w:w="20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(подпись)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(расшифровка подписи)</w:t>
            </w:r>
          </w:p>
        </w:tc>
      </w:tr>
      <w:tr w:rsidR="00000000">
        <w:trPr>
          <w:trHeight w:val="449"/>
        </w:trPr>
        <w:tc>
          <w:tcPr>
            <w:tcW w:w="35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"____"   ____________ 20____г.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sz w:val="24"/>
              </w:rPr>
            </w:pPr>
          </w:p>
        </w:tc>
        <w:tc>
          <w:tcPr>
            <w:tcW w:w="0" w:type="auto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52457">
            <w:pPr>
              <w:rPr>
                <w:sz w:val="24"/>
              </w:rPr>
            </w:pPr>
          </w:p>
        </w:tc>
      </w:tr>
    </w:tbl>
    <w:p w:rsidR="00852457" w:rsidRDefault="00852457">
      <w:r>
        <w:rPr>
          <w:rFonts w:ascii="Times New Roman" w:hAnsi="Times New Roman"/>
          <w:sz w:val="24"/>
        </w:rPr>
        <w:t xml:space="preserve">        </w:t>
      </w:r>
    </w:p>
    <w:sectPr w:rsidR="00852457">
      <w:pgSz w:w="12240" w:h="15840"/>
      <w:pgMar w:top="1133" w:right="850" w:bottom="1133" w:left="17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0000"/>
  <w:stylePaneSortMethod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</w:compat>
  <w:rsids>
    <w:rsidRoot w:val="008C47F8"/>
    <w:rsid w:val="00852457"/>
    <w:rsid w:val="008C4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o:colormenu v:ext="edit" fillcolor="black" strokecolor="black" shadowcolor="black" extrusioncolor="black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uiPriority="9" w:qFormat="1"/>
    <w:lsdException w:name="footnote text" w:uiPriority="9" w:qFormat="1"/>
    <w:lsdException w:name="annotation text" w:uiPriority="9" w:qFormat="1"/>
    <w:lsdException w:name="header" w:uiPriority="9" w:qFormat="1"/>
    <w:lsdException w:name="footer" w:uiPriority="9" w:qFormat="1"/>
    <w:lsdException w:name="index heading" w:uiPriority="9" w:qFormat="1"/>
    <w:lsdException w:name="caption" w:semiHidden="1" w:uiPriority="9" w:unhideWhenUsed="1" w:qFormat="1"/>
    <w:lsdException w:name="table of figures" w:uiPriority="9" w:qFormat="1"/>
    <w:lsdException w:name="envelope address" w:uiPriority="9" w:qFormat="1"/>
    <w:lsdException w:name="envelope return" w:uiPriority="9" w:qFormat="1"/>
    <w:lsdException w:name="footnote reference" w:uiPriority="9" w:qFormat="1"/>
    <w:lsdException w:name="annotation reference" w:uiPriority="9" w:qFormat="1"/>
    <w:lsdException w:name="line number" w:uiPriority="9" w:qFormat="1"/>
    <w:lsdException w:name="page number" w:uiPriority="9" w:qFormat="1"/>
    <w:lsdException w:name="endnote reference" w:uiPriority="9" w:qFormat="1"/>
    <w:lsdException w:name="endnote text" w:uiPriority="9" w:qFormat="1"/>
    <w:lsdException w:name="table of authorities" w:uiPriority="9" w:qFormat="1"/>
    <w:lsdException w:name="macro" w:uiPriority="9" w:qFormat="1"/>
    <w:lsdException w:name="toa heading" w:uiPriority="9" w:qFormat="1"/>
    <w:lsdException w:name="List" w:uiPriority="9" w:qFormat="1"/>
    <w:lsdException w:name="List Bullet" w:uiPriority="9" w:qFormat="1"/>
    <w:lsdException w:name="List Number" w:uiPriority="9" w:qFormat="1"/>
    <w:lsdException w:name="List 2" w:uiPriority="9" w:qFormat="1"/>
    <w:lsdException w:name="List 3" w:uiPriority="9" w:qFormat="1"/>
    <w:lsdException w:name="List 4" w:uiPriority="9" w:qFormat="1"/>
    <w:lsdException w:name="List 5" w:uiPriority="9" w:qFormat="1"/>
    <w:lsdException w:name="List Bullet 2" w:uiPriority="9" w:qFormat="1"/>
    <w:lsdException w:name="List Bullet 3" w:uiPriority="9" w:qFormat="1"/>
    <w:lsdException w:name="List Bullet 4" w:uiPriority="9" w:qFormat="1"/>
    <w:lsdException w:name="List Bullet 5" w:uiPriority="9" w:qFormat="1"/>
    <w:lsdException w:name="List Number 2" w:uiPriority="9" w:qFormat="1"/>
    <w:lsdException w:name="List Number 3" w:uiPriority="9" w:qFormat="1"/>
    <w:lsdException w:name="List Number 4" w:uiPriority="9" w:qFormat="1"/>
    <w:lsdException w:name="List Number 5" w:uiPriority="9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pBdr>
        <w:top w:val="nil"/>
        <w:left w:val="nil"/>
        <w:bottom w:val="nil"/>
        <w:right w:val="nil"/>
        <w:between w:val="nil"/>
      </w:pBdr>
    </w:pPr>
    <w:rPr>
      <w:sz w:val="22"/>
    </w:rPr>
  </w:style>
  <w:style w:type="character" w:default="1" w:styleId="a0">
    <w:name w:val="Default Paragraph Font"/>
    <w:rPr>
      <w:sz w:val="22"/>
    </w:rPr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next w:val="a"/>
  </w:style>
  <w:style w:type="character" w:customStyle="1" w:styleId="LineNumber">
    <w:name w:val="Line Number"/>
    <w:basedOn w:val="a0"/>
  </w:style>
  <w:style w:type="character" w:customStyle="1" w:styleId="Hyperlink">
    <w:name w:val="Hyperlink"/>
    <w:rPr>
      <w:color w:val="0000FF"/>
      <w:u w:val="single"/>
    </w:rPr>
  </w:style>
  <w:style w:type="table" w:customStyle="1" w:styleId="NormalTable">
    <w:name w:val="Normal Table"/>
    <w:rPr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Simple1">
    <w:name w:val="Table Simple 1"/>
    <w:basedOn w:val="NormalTabl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1006</Words>
  <Characters>5735</Characters>
  <Application>Microsoft Office Word</Application>
  <DocSecurity>0</DocSecurity>
  <Lines>47</Lines>
  <Paragraphs>13</Paragraphs>
  <ScaleCrop>false</ScaleCrop>
  <Company>Microsoft</Company>
  <LinksUpToDate>false</LinksUpToDate>
  <CharactersWithSpaces>6728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99-ПК\99</dc:creator>
  <cp:lastModifiedBy>99</cp:lastModifiedBy>
  <cp:revision>2</cp:revision>
  <dcterms:created xsi:type="dcterms:W3CDTF">2022-03-25T07:39:00Z</dcterms:created>
  <dcterms:modified xsi:type="dcterms:W3CDTF">2022-03-25T07:39:00Z</dcterms:modified>
</cp:coreProperties>
</file>